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54F5" w14:textId="77777777" w:rsidR="00DC1C8C" w:rsidRDefault="00DC1C8C" w:rsidP="00DC1C8C"/>
    <w:p w14:paraId="47C10D12" w14:textId="7905C257" w:rsidR="002A2223" w:rsidRPr="007E45C0" w:rsidRDefault="00DC1C8C" w:rsidP="007E45C0">
      <w:pPr>
        <w:ind w:left="708"/>
        <w:rPr>
          <w:rFonts w:ascii="Proxima Nova" w:hAnsi="Proxima Nova"/>
          <w:sz w:val="34"/>
          <w:szCs w:val="34"/>
        </w:rPr>
      </w:pPr>
      <w:r w:rsidRPr="00DC1C8C">
        <w:rPr>
          <w:rFonts w:ascii="Proxima Nova" w:hAnsi="Proxima Nova"/>
          <w:color w:val="E94E25"/>
          <w:sz w:val="34"/>
          <w:szCs w:val="34"/>
        </w:rPr>
        <w:t>FP</w:t>
      </w:r>
      <w:r w:rsidR="00F34059">
        <w:rPr>
          <w:rFonts w:ascii="Proxima Nova" w:hAnsi="Proxima Nova"/>
          <w:color w:val="E94E25"/>
          <w:sz w:val="34"/>
          <w:szCs w:val="34"/>
        </w:rPr>
        <w:t>S</w:t>
      </w:r>
      <w:r>
        <w:rPr>
          <w:rFonts w:ascii="Proxima Nova" w:hAnsi="Proxima Nova"/>
          <w:color w:val="E94E25"/>
          <w:sz w:val="34"/>
          <w:szCs w:val="34"/>
        </w:rPr>
        <w:t xml:space="preserve"> 22</w:t>
      </w:r>
      <w:r w:rsidRPr="00DC1C8C">
        <w:rPr>
          <w:rFonts w:ascii="Proxima Nova" w:hAnsi="Proxima Nova"/>
          <w:color w:val="E94E25"/>
          <w:sz w:val="34"/>
          <w:szCs w:val="34"/>
        </w:rPr>
        <w:t xml:space="preserve"> </w:t>
      </w:r>
      <w:r w:rsidRPr="00DC1C8C">
        <w:rPr>
          <w:rFonts w:ascii="Proxima Nova" w:hAnsi="Proxima Nova"/>
          <w:sz w:val="34"/>
          <w:szCs w:val="34"/>
        </w:rPr>
        <w:t xml:space="preserve">&gt; </w:t>
      </w:r>
      <w:r w:rsidRPr="00DC1C8C">
        <w:rPr>
          <w:rFonts w:ascii="Proxima Nova" w:hAnsi="Proxima Nova"/>
          <w:b/>
          <w:bCs/>
          <w:color w:val="294754"/>
          <w:sz w:val="34"/>
          <w:szCs w:val="34"/>
        </w:rPr>
        <w:t>L</w:t>
      </w:r>
      <w:r>
        <w:rPr>
          <w:rFonts w:ascii="Proxima Nova" w:hAnsi="Proxima Nova"/>
          <w:b/>
          <w:bCs/>
          <w:color w:val="294754"/>
          <w:sz w:val="34"/>
          <w:szCs w:val="34"/>
        </w:rPr>
        <w:t>a</w:t>
      </w:r>
      <w:r w:rsidRPr="00DC1C8C">
        <w:rPr>
          <w:rFonts w:ascii="Proxima Nova" w:hAnsi="Proxima Nova"/>
          <w:b/>
          <w:bCs/>
          <w:color w:val="294754"/>
          <w:sz w:val="34"/>
          <w:szCs w:val="34"/>
        </w:rPr>
        <w:t xml:space="preserve"> B</w:t>
      </w:r>
      <w:r>
        <w:rPr>
          <w:rFonts w:ascii="Proxima Nova" w:hAnsi="Proxima Nova"/>
          <w:b/>
          <w:bCs/>
          <w:color w:val="294754"/>
          <w:sz w:val="34"/>
          <w:szCs w:val="34"/>
        </w:rPr>
        <w:t xml:space="preserve">ase de </w:t>
      </w:r>
      <w:r w:rsidRPr="00DC1C8C">
        <w:rPr>
          <w:rFonts w:ascii="Proxima Nova" w:hAnsi="Proxima Nova"/>
          <w:b/>
          <w:bCs/>
          <w:color w:val="294754"/>
          <w:sz w:val="34"/>
          <w:szCs w:val="34"/>
        </w:rPr>
        <w:t>D</w:t>
      </w:r>
      <w:r>
        <w:rPr>
          <w:rFonts w:ascii="Proxima Nova" w:hAnsi="Proxima Nova"/>
          <w:b/>
          <w:bCs/>
          <w:color w:val="294754"/>
          <w:sz w:val="34"/>
          <w:szCs w:val="34"/>
        </w:rPr>
        <w:t xml:space="preserve">onnées </w:t>
      </w:r>
      <w:r w:rsidRPr="00DC1C8C">
        <w:rPr>
          <w:rFonts w:ascii="Proxima Nova" w:hAnsi="Proxima Nova"/>
          <w:b/>
          <w:bCs/>
          <w:color w:val="294754"/>
          <w:sz w:val="34"/>
          <w:szCs w:val="34"/>
        </w:rPr>
        <w:t>E</w:t>
      </w:r>
      <w:r>
        <w:rPr>
          <w:rFonts w:ascii="Proxima Nova" w:hAnsi="Proxima Nova"/>
          <w:b/>
          <w:bCs/>
          <w:color w:val="294754"/>
          <w:sz w:val="34"/>
          <w:szCs w:val="34"/>
        </w:rPr>
        <w:t xml:space="preserve">conomiques </w:t>
      </w:r>
      <w:r w:rsidRPr="00DC1C8C">
        <w:rPr>
          <w:rFonts w:ascii="Proxima Nova" w:hAnsi="Proxima Nova"/>
          <w:b/>
          <w:bCs/>
          <w:color w:val="294754"/>
          <w:sz w:val="34"/>
          <w:szCs w:val="34"/>
        </w:rPr>
        <w:t>S</w:t>
      </w:r>
      <w:r>
        <w:rPr>
          <w:rFonts w:ascii="Proxima Nova" w:hAnsi="Proxima Nova"/>
          <w:b/>
          <w:bCs/>
          <w:color w:val="294754"/>
          <w:sz w:val="34"/>
          <w:szCs w:val="34"/>
        </w:rPr>
        <w:t xml:space="preserve">ociales et </w:t>
      </w:r>
      <w:r w:rsidRPr="00DC1C8C">
        <w:rPr>
          <w:rFonts w:ascii="Proxima Nova" w:hAnsi="Proxima Nova"/>
          <w:b/>
          <w:bCs/>
          <w:color w:val="294754"/>
          <w:sz w:val="34"/>
          <w:szCs w:val="34"/>
        </w:rPr>
        <w:t>E</w:t>
      </w:r>
      <w:r>
        <w:rPr>
          <w:rFonts w:ascii="Proxima Nova" w:hAnsi="Proxima Nova"/>
          <w:b/>
          <w:bCs/>
          <w:color w:val="294754"/>
          <w:sz w:val="34"/>
          <w:szCs w:val="34"/>
        </w:rPr>
        <w:t>conomique</w:t>
      </w:r>
      <w:r w:rsidR="00672119">
        <w:rPr>
          <w:rFonts w:ascii="Proxima Nova" w:hAnsi="Proxima Nova"/>
          <w:b/>
          <w:bCs/>
          <w:color w:val="294754"/>
          <w:sz w:val="34"/>
          <w:szCs w:val="34"/>
        </w:rPr>
        <w:t>s</w:t>
      </w:r>
    </w:p>
    <w:p w14:paraId="6706AFFD" w14:textId="77777777" w:rsidR="00DA5281" w:rsidRDefault="00DA5281" w:rsidP="007E7E43">
      <w:pPr>
        <w:jc w:val="both"/>
        <w:rPr>
          <w:rFonts w:ascii="Proxima Nova" w:hAnsi="Proxima Nova"/>
          <w:i/>
          <w:iCs/>
          <w:sz w:val="18"/>
          <w:szCs w:val="18"/>
        </w:rPr>
      </w:pPr>
    </w:p>
    <w:p w14:paraId="2108324F" w14:textId="069A5ED8" w:rsidR="007E45C0" w:rsidRDefault="007E7E43" w:rsidP="007E7E43">
      <w:pPr>
        <w:jc w:val="both"/>
        <w:rPr>
          <w:rFonts w:ascii="Proxima Nova" w:hAnsi="Proxima Nova"/>
          <w:i/>
          <w:iCs/>
          <w:sz w:val="18"/>
          <w:szCs w:val="18"/>
        </w:rPr>
      </w:pPr>
      <w:r w:rsidRPr="007E7E43">
        <w:rPr>
          <w:rFonts w:ascii="Proxima Nova" w:hAnsi="Proxima Nova"/>
          <w:i/>
          <w:iCs/>
          <w:sz w:val="18"/>
          <w:szCs w:val="18"/>
        </w:rPr>
        <w:t>La Base de Données Economiques et Sociales (BDES) est l’ensemble des informations relatives aux opérations économiques et sociales que l’employeur doit mettre à disposition du CSE (Comité Social et Economique). Elle est devenue la Base de Données Economiques Sociales et Environnementales depuis la loi climat et résilience. Un décret précisant les informations environnementales à remettre aux élus du CSE a été publié le 26 avril 2022.</w:t>
      </w:r>
    </w:p>
    <w:p w14:paraId="501B9D46" w14:textId="2A67F434" w:rsidR="007E7E43" w:rsidRPr="007E7E43" w:rsidRDefault="007E7E43" w:rsidP="00A054A5">
      <w:pPr>
        <w:pStyle w:val="Paragraphedeliste"/>
        <w:numPr>
          <w:ilvl w:val="0"/>
          <w:numId w:val="3"/>
        </w:numPr>
        <w:jc w:val="both"/>
        <w:rPr>
          <w:rFonts w:ascii="Proxima Nova" w:hAnsi="Proxima Nova"/>
          <w:b/>
          <w:bCs/>
          <w:color w:val="E94E25"/>
          <w:sz w:val="20"/>
          <w:szCs w:val="20"/>
        </w:rPr>
      </w:pPr>
      <w:r w:rsidRPr="007E7E43">
        <w:rPr>
          <w:rFonts w:ascii="Proxima Nova" w:hAnsi="Proxima Nova"/>
          <w:b/>
          <w:bCs/>
          <w:color w:val="E94E25"/>
          <w:sz w:val="20"/>
          <w:szCs w:val="20"/>
        </w:rPr>
        <w:t>Obligation</w:t>
      </w:r>
    </w:p>
    <w:p w14:paraId="067AB4F7" w14:textId="77777777" w:rsidR="007E7E43" w:rsidRPr="007E7E43" w:rsidRDefault="007E7E43" w:rsidP="007E7E43">
      <w:pPr>
        <w:jc w:val="both"/>
        <w:rPr>
          <w:rFonts w:ascii="Proxima Nova" w:hAnsi="Proxima Nova" w:cs="Arial"/>
          <w:sz w:val="18"/>
          <w:szCs w:val="18"/>
        </w:rPr>
      </w:pPr>
      <w:r w:rsidRPr="007E7E43">
        <w:rPr>
          <w:rFonts w:ascii="Proxima Nova" w:hAnsi="Proxima Nova" w:cs="Arial"/>
          <w:sz w:val="18"/>
          <w:szCs w:val="18"/>
        </w:rPr>
        <w:t>La BDESE est obligatoire pour les entreprises de plus de 50 salariés. Elle comprend les données collectées au niveau de l’entreprise, et non par établissement.</w:t>
      </w:r>
    </w:p>
    <w:p w14:paraId="02CA53C8" w14:textId="527EB54C" w:rsidR="007E7E43" w:rsidRDefault="007E7E43" w:rsidP="007E7E43">
      <w:pPr>
        <w:jc w:val="both"/>
        <w:rPr>
          <w:rFonts w:ascii="Proxima Nova" w:hAnsi="Proxima Nova" w:cs="Arial"/>
          <w:sz w:val="18"/>
          <w:szCs w:val="18"/>
        </w:rPr>
      </w:pPr>
      <w:r w:rsidRPr="007E7E43">
        <w:rPr>
          <w:rFonts w:ascii="Proxima Nova" w:hAnsi="Proxima Nova" w:cs="Arial"/>
          <w:i/>
          <w:iCs/>
          <w:sz w:val="18"/>
          <w:szCs w:val="18"/>
          <w:u w:val="single"/>
        </w:rPr>
        <w:t>Attention</w:t>
      </w:r>
      <w:r w:rsidRPr="007E7E43">
        <w:rPr>
          <w:rFonts w:ascii="Proxima Nova" w:hAnsi="Proxima Nova" w:cs="Arial"/>
          <w:sz w:val="18"/>
          <w:szCs w:val="18"/>
        </w:rPr>
        <w:t> : en l’absence de base de données, l’employeur se rend coupable d’un délit d’entrave, passible d’une amende de 7.500 euros.</w:t>
      </w:r>
    </w:p>
    <w:p w14:paraId="61FE1214" w14:textId="77777777" w:rsidR="007E45C0" w:rsidRPr="00A054A5" w:rsidRDefault="007E45C0" w:rsidP="007E7E43">
      <w:pPr>
        <w:jc w:val="both"/>
        <w:rPr>
          <w:rFonts w:ascii="Proxima Nova" w:hAnsi="Proxima Nova" w:cs="Arial"/>
          <w:sz w:val="18"/>
          <w:szCs w:val="18"/>
        </w:rPr>
      </w:pPr>
    </w:p>
    <w:p w14:paraId="6F179EA8" w14:textId="12EFD5CC" w:rsidR="007E7E43" w:rsidRDefault="007E7E43" w:rsidP="007E7E43">
      <w:pPr>
        <w:pStyle w:val="Paragraphedeliste"/>
        <w:numPr>
          <w:ilvl w:val="0"/>
          <w:numId w:val="1"/>
        </w:numPr>
        <w:jc w:val="both"/>
        <w:rPr>
          <w:rFonts w:ascii="Proxima Nova" w:hAnsi="Proxima Nova"/>
          <w:b/>
          <w:bCs/>
          <w:color w:val="E94E25"/>
          <w:sz w:val="20"/>
          <w:szCs w:val="20"/>
        </w:rPr>
      </w:pPr>
      <w:r>
        <w:rPr>
          <w:rFonts w:ascii="Proxima Nova" w:hAnsi="Proxima Nova"/>
          <w:b/>
          <w:bCs/>
          <w:color w:val="E94E25"/>
          <w:sz w:val="20"/>
          <w:szCs w:val="20"/>
        </w:rPr>
        <w:t>Accessibilit</w:t>
      </w:r>
      <w:r>
        <w:rPr>
          <w:rFonts w:ascii="Proxima Nova" w:hAnsi="Proxima Nova" w:hint="eastAsia"/>
          <w:b/>
          <w:bCs/>
          <w:color w:val="E94E25"/>
          <w:sz w:val="20"/>
          <w:szCs w:val="20"/>
        </w:rPr>
        <w:t>é</w:t>
      </w:r>
    </w:p>
    <w:p w14:paraId="77816A7A" w14:textId="32D0BF1C" w:rsidR="007E7E43" w:rsidRPr="007E7E43" w:rsidRDefault="007E7E43" w:rsidP="007E7E43">
      <w:pPr>
        <w:jc w:val="both"/>
        <w:rPr>
          <w:rFonts w:ascii="Proxima Nova" w:hAnsi="Proxima Nova" w:cs="Arial"/>
          <w:sz w:val="18"/>
          <w:szCs w:val="18"/>
        </w:rPr>
      </w:pPr>
      <w:r w:rsidRPr="007E7E43">
        <w:rPr>
          <w:rFonts w:ascii="Proxima Nova" w:hAnsi="Proxima Nova" w:cs="Arial"/>
          <w:sz w:val="18"/>
          <w:szCs w:val="18"/>
        </w:rPr>
        <w:t>La BDESE doit être accessible en permanence au</w:t>
      </w:r>
      <w:r w:rsidR="00672119">
        <w:rPr>
          <w:rFonts w:ascii="Proxima Nova" w:hAnsi="Proxima Nova" w:cs="Arial"/>
          <w:sz w:val="18"/>
          <w:szCs w:val="18"/>
        </w:rPr>
        <w:t>x membres du</w:t>
      </w:r>
      <w:r w:rsidRPr="007E7E43">
        <w:rPr>
          <w:rFonts w:ascii="Proxima Nova" w:hAnsi="Proxima Nova" w:cs="Arial"/>
          <w:sz w:val="18"/>
          <w:szCs w:val="18"/>
        </w:rPr>
        <w:t xml:space="preserve"> CSE et aux représentants du personnel. </w:t>
      </w:r>
    </w:p>
    <w:p w14:paraId="3ADEC3EE" w14:textId="0C5FC3A9" w:rsidR="007E7E43" w:rsidRPr="007E7E43" w:rsidRDefault="007E7E43" w:rsidP="007E7E43">
      <w:pPr>
        <w:jc w:val="both"/>
        <w:rPr>
          <w:rFonts w:ascii="Proxima Nova" w:hAnsi="Proxima Nova" w:cs="Arial"/>
          <w:sz w:val="18"/>
          <w:szCs w:val="18"/>
        </w:rPr>
      </w:pPr>
      <w:r w:rsidRPr="007E7E43">
        <w:rPr>
          <w:rFonts w:ascii="Proxima Nova" w:hAnsi="Proxima Nova" w:cs="Arial"/>
          <w:sz w:val="18"/>
          <w:szCs w:val="18"/>
        </w:rPr>
        <w:t xml:space="preserve">La question d’accès à la base de données se pose pour les suppléants. La loi ne précise pas clairement si les représentants du personnel suppléants peuvent y avoir accès ou non. Toutefois il semble justifié de prévoir des consultations ponctuelles afin </w:t>
      </w:r>
      <w:r w:rsidR="00672119">
        <w:rPr>
          <w:rFonts w:ascii="Proxima Nova" w:hAnsi="Proxima Nova" w:cs="Arial"/>
          <w:sz w:val="18"/>
          <w:szCs w:val="18"/>
        </w:rPr>
        <w:t xml:space="preserve">que le représentant du personnel suppléant </w:t>
      </w:r>
      <w:r w:rsidRPr="007E7E43">
        <w:rPr>
          <w:rFonts w:ascii="Proxima Nova" w:hAnsi="Proxima Nova" w:cs="Arial"/>
          <w:sz w:val="18"/>
          <w:szCs w:val="18"/>
        </w:rPr>
        <w:t>puisse se préparer dès lors qu’il doit remplacer un membre élu titulaire.</w:t>
      </w:r>
    </w:p>
    <w:p w14:paraId="0F0F53CF" w14:textId="77777777" w:rsidR="007E7E43" w:rsidRPr="007E7E43" w:rsidRDefault="007E7E43" w:rsidP="007E7E43">
      <w:pPr>
        <w:jc w:val="both"/>
        <w:rPr>
          <w:rFonts w:ascii="Proxima Nova" w:hAnsi="Proxima Nova" w:cs="Arial"/>
          <w:sz w:val="18"/>
          <w:szCs w:val="18"/>
        </w:rPr>
      </w:pPr>
      <w:r w:rsidRPr="007E7E43">
        <w:rPr>
          <w:rFonts w:ascii="Proxima Nova" w:hAnsi="Proxima Nova" w:cs="Arial"/>
          <w:sz w:val="18"/>
          <w:szCs w:val="18"/>
        </w:rPr>
        <w:t>L’employeur doit concevoir, mettre en place et maintenir à jour la BDESE. Il est également celui qui fixe les conditions d’accès, de consultation, d’utilisation et d’actualisation. Ces conditions peuvent faire l’objet d’un accord collectif.</w:t>
      </w:r>
    </w:p>
    <w:p w14:paraId="5A0EF793" w14:textId="77777777" w:rsidR="007E7E43" w:rsidRPr="007E7E43" w:rsidRDefault="007E7E43" w:rsidP="007E7E43">
      <w:pPr>
        <w:jc w:val="both"/>
        <w:rPr>
          <w:rFonts w:ascii="Proxima Nova" w:hAnsi="Proxima Nova" w:cs="Arial"/>
          <w:sz w:val="18"/>
          <w:szCs w:val="18"/>
        </w:rPr>
      </w:pPr>
      <w:r w:rsidRPr="007E7E43">
        <w:rPr>
          <w:rFonts w:ascii="Proxima Nova" w:hAnsi="Proxima Nova" w:cs="Arial"/>
          <w:sz w:val="18"/>
          <w:szCs w:val="18"/>
        </w:rPr>
        <w:t>La BDESE doit être consultable sur support papier ou informatique.</w:t>
      </w:r>
    </w:p>
    <w:p w14:paraId="15E9AC95" w14:textId="6B087190" w:rsidR="007E7E43" w:rsidRDefault="007E7E43" w:rsidP="007E7E43">
      <w:pPr>
        <w:jc w:val="both"/>
        <w:rPr>
          <w:rFonts w:ascii="Proxima Nova" w:hAnsi="Proxima Nova" w:cs="Arial"/>
          <w:sz w:val="18"/>
          <w:szCs w:val="18"/>
        </w:rPr>
      </w:pPr>
      <w:r w:rsidRPr="007E7E43">
        <w:rPr>
          <w:rFonts w:ascii="Proxima Nova" w:hAnsi="Proxima Nova" w:cs="Arial"/>
          <w:sz w:val="18"/>
          <w:szCs w:val="18"/>
        </w:rPr>
        <w:t>L’ensemble des informations figurant dans cette base de données revêt un caractère confidentiel et doit être spécifié comme tel par l’employeur. La durée de la confidentialité de ces informations doit également être mentionnée.</w:t>
      </w:r>
    </w:p>
    <w:p w14:paraId="3DF99B85" w14:textId="77777777" w:rsidR="007E45C0" w:rsidRPr="00A054A5" w:rsidRDefault="007E45C0" w:rsidP="007E7E43">
      <w:pPr>
        <w:jc w:val="both"/>
        <w:rPr>
          <w:rFonts w:ascii="Proxima Nova" w:hAnsi="Proxima Nova" w:cs="Arial"/>
          <w:sz w:val="18"/>
          <w:szCs w:val="18"/>
        </w:rPr>
      </w:pPr>
    </w:p>
    <w:p w14:paraId="79ACC1F1" w14:textId="313BC52D" w:rsidR="007E7E43" w:rsidRDefault="007E7E43" w:rsidP="007E7E43">
      <w:pPr>
        <w:pStyle w:val="Paragraphedeliste"/>
        <w:numPr>
          <w:ilvl w:val="0"/>
          <w:numId w:val="1"/>
        </w:numPr>
        <w:jc w:val="both"/>
        <w:rPr>
          <w:rFonts w:ascii="Proxima Nova" w:hAnsi="Proxima Nova"/>
          <w:b/>
          <w:bCs/>
          <w:color w:val="E94E25"/>
          <w:sz w:val="20"/>
          <w:szCs w:val="20"/>
        </w:rPr>
      </w:pPr>
      <w:r>
        <w:rPr>
          <w:rFonts w:ascii="Proxima Nova" w:hAnsi="Proxima Nova"/>
          <w:b/>
          <w:bCs/>
          <w:color w:val="E94E25"/>
          <w:sz w:val="20"/>
          <w:szCs w:val="20"/>
        </w:rPr>
        <w:t>Mentions obligatoires</w:t>
      </w:r>
    </w:p>
    <w:p w14:paraId="4C278B5E" w14:textId="1F9DB2F0" w:rsidR="00A054A5" w:rsidRPr="00A054A5" w:rsidRDefault="00A054A5" w:rsidP="00A054A5">
      <w:pPr>
        <w:jc w:val="both"/>
        <w:rPr>
          <w:rFonts w:ascii="Proxima Nova" w:hAnsi="Proxima Nova" w:cs="Arial"/>
          <w:sz w:val="18"/>
          <w:szCs w:val="18"/>
        </w:rPr>
      </w:pPr>
      <w:r w:rsidRPr="00A054A5">
        <w:rPr>
          <w:rFonts w:ascii="Proxima Nova" w:hAnsi="Proxima Nova" w:cs="Arial"/>
          <w:sz w:val="18"/>
          <w:szCs w:val="18"/>
        </w:rPr>
        <w:t>En l’absence d’accord</w:t>
      </w:r>
      <w:r w:rsidR="00672119">
        <w:rPr>
          <w:rFonts w:ascii="Proxima Nova" w:hAnsi="Proxima Nova" w:cs="Arial"/>
          <w:sz w:val="18"/>
          <w:szCs w:val="18"/>
        </w:rPr>
        <w:t>,</w:t>
      </w:r>
      <w:r w:rsidRPr="00A054A5">
        <w:rPr>
          <w:rFonts w:ascii="Proxima Nova" w:hAnsi="Proxima Nova" w:cs="Arial"/>
          <w:sz w:val="18"/>
          <w:szCs w:val="18"/>
        </w:rPr>
        <w:t xml:space="preserve"> prévu </w:t>
      </w:r>
      <w:r w:rsidR="00672119">
        <w:rPr>
          <w:rFonts w:ascii="Proxima Nova" w:hAnsi="Proxima Nova" w:cs="Arial"/>
          <w:sz w:val="18"/>
          <w:szCs w:val="18"/>
        </w:rPr>
        <w:t>par</w:t>
      </w:r>
      <w:r w:rsidRPr="00A054A5">
        <w:rPr>
          <w:rFonts w:ascii="Proxima Nova" w:hAnsi="Proxima Nova" w:cs="Arial"/>
          <w:sz w:val="18"/>
          <w:szCs w:val="18"/>
        </w:rPr>
        <w:t xml:space="preserve"> l’article L.2312-21 du Code du travail, il doit être fait mention des thèmes énumérés à l’article L.2312-36 du Code du travail :</w:t>
      </w:r>
    </w:p>
    <w:p w14:paraId="241A7C7A" w14:textId="77777777" w:rsidR="00A054A5" w:rsidRPr="00A054A5" w:rsidRDefault="00A054A5" w:rsidP="00A054A5">
      <w:pPr>
        <w:pStyle w:val="Paragraphedeliste"/>
        <w:numPr>
          <w:ilvl w:val="0"/>
          <w:numId w:val="4"/>
        </w:numPr>
        <w:jc w:val="both"/>
        <w:rPr>
          <w:rFonts w:ascii="Proxima Nova" w:hAnsi="Proxima Nova" w:cs="Arial"/>
          <w:sz w:val="18"/>
          <w:szCs w:val="18"/>
        </w:rPr>
      </w:pPr>
      <w:r w:rsidRPr="00A054A5">
        <w:rPr>
          <w:rFonts w:ascii="Proxima Nova" w:hAnsi="Proxima Nova" w:cs="Arial"/>
          <w:sz w:val="18"/>
          <w:szCs w:val="18"/>
        </w:rPr>
        <w:t>Investissement social, matériel et immatériel ;</w:t>
      </w:r>
    </w:p>
    <w:p w14:paraId="27261A4E" w14:textId="77777777" w:rsidR="00A054A5" w:rsidRPr="00A054A5" w:rsidRDefault="00A054A5" w:rsidP="00A054A5">
      <w:pPr>
        <w:pStyle w:val="Paragraphedeliste"/>
        <w:numPr>
          <w:ilvl w:val="0"/>
          <w:numId w:val="4"/>
        </w:numPr>
        <w:jc w:val="both"/>
        <w:rPr>
          <w:rFonts w:ascii="Proxima Nova" w:hAnsi="Proxima Nova" w:cs="Arial"/>
          <w:sz w:val="18"/>
          <w:szCs w:val="18"/>
        </w:rPr>
      </w:pPr>
      <w:r w:rsidRPr="00A054A5">
        <w:rPr>
          <w:rFonts w:ascii="Proxima Nova" w:hAnsi="Proxima Nova" w:cs="Arial"/>
          <w:sz w:val="18"/>
          <w:szCs w:val="18"/>
        </w:rPr>
        <w:t>Egalité professionnelle entre les hommes et les femmes (cette rubrique doit présenter des données chiffrées pour l’analyse de la situation respective des femmes et des hommes dans l’entreprise) ;</w:t>
      </w:r>
    </w:p>
    <w:p w14:paraId="7BCBEED6" w14:textId="77777777" w:rsidR="00A054A5" w:rsidRPr="00A054A5" w:rsidRDefault="00A054A5" w:rsidP="00A054A5">
      <w:pPr>
        <w:pStyle w:val="Paragraphedeliste"/>
        <w:numPr>
          <w:ilvl w:val="0"/>
          <w:numId w:val="4"/>
        </w:numPr>
        <w:jc w:val="both"/>
        <w:rPr>
          <w:rFonts w:ascii="Proxima Nova" w:hAnsi="Proxima Nova" w:cs="Arial"/>
          <w:sz w:val="18"/>
          <w:szCs w:val="18"/>
        </w:rPr>
      </w:pPr>
      <w:r w:rsidRPr="00A054A5">
        <w:rPr>
          <w:rFonts w:ascii="Proxima Nova" w:hAnsi="Proxima Nova" w:cs="Arial"/>
          <w:sz w:val="18"/>
          <w:szCs w:val="18"/>
        </w:rPr>
        <w:t>Fonds propres, endettement et impôts ;</w:t>
      </w:r>
    </w:p>
    <w:p w14:paraId="5996730A" w14:textId="77777777" w:rsidR="00A054A5" w:rsidRPr="00A054A5" w:rsidRDefault="00A054A5" w:rsidP="00A054A5">
      <w:pPr>
        <w:pStyle w:val="Paragraphedeliste"/>
        <w:numPr>
          <w:ilvl w:val="0"/>
          <w:numId w:val="4"/>
        </w:numPr>
        <w:jc w:val="both"/>
        <w:rPr>
          <w:rFonts w:ascii="Proxima Nova" w:hAnsi="Proxima Nova" w:cs="Arial"/>
          <w:sz w:val="18"/>
          <w:szCs w:val="18"/>
        </w:rPr>
      </w:pPr>
      <w:r w:rsidRPr="00A054A5">
        <w:rPr>
          <w:rFonts w:ascii="Proxima Nova" w:hAnsi="Proxima Nova" w:cs="Arial"/>
          <w:sz w:val="18"/>
          <w:szCs w:val="18"/>
        </w:rPr>
        <w:t>Rémunération des salariés et dirigeants ;</w:t>
      </w:r>
    </w:p>
    <w:p w14:paraId="7BC824AA" w14:textId="77777777" w:rsidR="00A054A5" w:rsidRPr="00A054A5" w:rsidRDefault="00A054A5" w:rsidP="00A054A5">
      <w:pPr>
        <w:pStyle w:val="Paragraphedeliste"/>
        <w:numPr>
          <w:ilvl w:val="0"/>
          <w:numId w:val="4"/>
        </w:numPr>
        <w:jc w:val="both"/>
        <w:rPr>
          <w:rFonts w:ascii="Proxima Nova" w:hAnsi="Proxima Nova" w:cs="Arial"/>
          <w:sz w:val="18"/>
          <w:szCs w:val="18"/>
        </w:rPr>
      </w:pPr>
      <w:r w:rsidRPr="00A054A5">
        <w:rPr>
          <w:rFonts w:ascii="Proxima Nova" w:hAnsi="Proxima Nova" w:cs="Arial"/>
          <w:sz w:val="18"/>
          <w:szCs w:val="18"/>
        </w:rPr>
        <w:t>Activités sociales et culturelles ;</w:t>
      </w:r>
    </w:p>
    <w:p w14:paraId="48338C63" w14:textId="77777777" w:rsidR="00A054A5" w:rsidRPr="00A054A5" w:rsidRDefault="00A054A5" w:rsidP="00A054A5">
      <w:pPr>
        <w:pStyle w:val="Paragraphedeliste"/>
        <w:numPr>
          <w:ilvl w:val="0"/>
          <w:numId w:val="4"/>
        </w:numPr>
        <w:jc w:val="both"/>
        <w:rPr>
          <w:rFonts w:ascii="Proxima Nova" w:hAnsi="Proxima Nova" w:cs="Arial"/>
          <w:sz w:val="18"/>
          <w:szCs w:val="18"/>
        </w:rPr>
      </w:pPr>
      <w:r w:rsidRPr="00A054A5">
        <w:rPr>
          <w:rFonts w:ascii="Proxima Nova" w:hAnsi="Proxima Nova" w:cs="Arial"/>
          <w:sz w:val="18"/>
          <w:szCs w:val="18"/>
        </w:rPr>
        <w:t>Rémunération des financeurs ;</w:t>
      </w:r>
    </w:p>
    <w:p w14:paraId="7C9D8AE7" w14:textId="77777777" w:rsidR="00A054A5" w:rsidRPr="00A054A5" w:rsidRDefault="00A054A5" w:rsidP="00A054A5">
      <w:pPr>
        <w:pStyle w:val="Paragraphedeliste"/>
        <w:numPr>
          <w:ilvl w:val="0"/>
          <w:numId w:val="4"/>
        </w:numPr>
        <w:jc w:val="both"/>
        <w:rPr>
          <w:rFonts w:ascii="Proxima Nova" w:hAnsi="Proxima Nova" w:cs="Arial"/>
          <w:sz w:val="18"/>
          <w:szCs w:val="18"/>
        </w:rPr>
      </w:pPr>
      <w:r w:rsidRPr="00A054A5">
        <w:rPr>
          <w:rFonts w:ascii="Proxima Nova" w:hAnsi="Proxima Nova" w:cs="Arial"/>
          <w:sz w:val="18"/>
          <w:szCs w:val="18"/>
        </w:rPr>
        <w:t>Flux financiers ;</w:t>
      </w:r>
    </w:p>
    <w:p w14:paraId="42E6B10F" w14:textId="77777777" w:rsidR="00A054A5" w:rsidRPr="00A054A5" w:rsidRDefault="00A054A5" w:rsidP="00A054A5">
      <w:pPr>
        <w:pStyle w:val="Paragraphedeliste"/>
        <w:numPr>
          <w:ilvl w:val="0"/>
          <w:numId w:val="4"/>
        </w:numPr>
        <w:jc w:val="both"/>
        <w:rPr>
          <w:rFonts w:ascii="Proxima Nova" w:hAnsi="Proxima Nova" w:cs="Arial"/>
          <w:sz w:val="18"/>
          <w:szCs w:val="18"/>
        </w:rPr>
      </w:pPr>
      <w:r w:rsidRPr="00A054A5">
        <w:rPr>
          <w:rFonts w:ascii="Proxima Nova" w:hAnsi="Proxima Nova" w:cs="Arial"/>
          <w:sz w:val="18"/>
          <w:szCs w:val="18"/>
        </w:rPr>
        <w:t>Partenariats ;</w:t>
      </w:r>
    </w:p>
    <w:p w14:paraId="27237114" w14:textId="77777777" w:rsidR="00A054A5" w:rsidRPr="00A054A5" w:rsidRDefault="00A054A5" w:rsidP="00A054A5">
      <w:pPr>
        <w:pStyle w:val="Paragraphedeliste"/>
        <w:numPr>
          <w:ilvl w:val="0"/>
          <w:numId w:val="4"/>
        </w:numPr>
        <w:jc w:val="both"/>
        <w:rPr>
          <w:rFonts w:ascii="Proxima Nova" w:hAnsi="Proxima Nova" w:cs="Arial"/>
          <w:sz w:val="18"/>
          <w:szCs w:val="18"/>
        </w:rPr>
      </w:pPr>
      <w:r w:rsidRPr="00A054A5">
        <w:rPr>
          <w:rFonts w:ascii="Proxima Nova" w:hAnsi="Proxima Nova" w:cs="Arial"/>
          <w:sz w:val="18"/>
          <w:szCs w:val="18"/>
        </w:rPr>
        <w:t>Transferts commerciaux et financiers entre les entités d’un même groupe.</w:t>
      </w:r>
    </w:p>
    <w:p w14:paraId="15B5E3EF" w14:textId="77777777" w:rsidR="00A054A5" w:rsidRPr="00A054A5" w:rsidRDefault="00A054A5" w:rsidP="00A054A5">
      <w:pPr>
        <w:jc w:val="both"/>
        <w:rPr>
          <w:rFonts w:ascii="Proxima Nova" w:hAnsi="Proxima Nova" w:cs="Arial"/>
          <w:sz w:val="18"/>
          <w:szCs w:val="18"/>
        </w:rPr>
      </w:pPr>
      <w:r w:rsidRPr="00A054A5">
        <w:rPr>
          <w:rFonts w:ascii="Proxima Nova" w:hAnsi="Proxima Nova" w:cs="Arial"/>
          <w:sz w:val="18"/>
          <w:szCs w:val="18"/>
        </w:rPr>
        <w:lastRenderedPageBreak/>
        <w:t>Ces informations portent sur les 2 années précédentes et l'année en cours et intègrent des perspectives sur les 3 années suivantes.</w:t>
      </w:r>
    </w:p>
    <w:p w14:paraId="74B936F3" w14:textId="77777777" w:rsidR="00A054A5" w:rsidRPr="00A054A5" w:rsidRDefault="00A054A5" w:rsidP="00A054A5">
      <w:pPr>
        <w:jc w:val="both"/>
        <w:rPr>
          <w:rFonts w:ascii="Proxima Nova" w:hAnsi="Proxima Nova"/>
          <w:b/>
          <w:bCs/>
          <w:color w:val="E94E25"/>
          <w:sz w:val="20"/>
          <w:szCs w:val="20"/>
        </w:rPr>
      </w:pPr>
    </w:p>
    <w:p w14:paraId="29C54804" w14:textId="4066820E" w:rsidR="007E7E43" w:rsidRDefault="007E7E43" w:rsidP="007E7E43">
      <w:pPr>
        <w:pStyle w:val="Paragraphedeliste"/>
        <w:numPr>
          <w:ilvl w:val="0"/>
          <w:numId w:val="1"/>
        </w:numPr>
        <w:jc w:val="both"/>
        <w:rPr>
          <w:rFonts w:ascii="Proxima Nova" w:hAnsi="Proxima Nova"/>
          <w:b/>
          <w:bCs/>
          <w:color w:val="E94E25"/>
          <w:sz w:val="20"/>
          <w:szCs w:val="20"/>
        </w:rPr>
      </w:pPr>
      <w:r>
        <w:rPr>
          <w:rFonts w:ascii="Proxima Nova" w:hAnsi="Proxima Nova"/>
          <w:b/>
          <w:bCs/>
          <w:color w:val="E94E25"/>
          <w:sz w:val="20"/>
          <w:szCs w:val="20"/>
        </w:rPr>
        <w:t>Objectifs</w:t>
      </w:r>
    </w:p>
    <w:p w14:paraId="02E8A6F2" w14:textId="30FEFC40" w:rsidR="00A054A5" w:rsidRDefault="00A054A5" w:rsidP="007677EC">
      <w:pPr>
        <w:spacing w:after="0"/>
        <w:jc w:val="both"/>
        <w:rPr>
          <w:rFonts w:ascii="Proxima Nova" w:hAnsi="Proxima Nova" w:cs="Arial"/>
          <w:sz w:val="18"/>
          <w:szCs w:val="18"/>
        </w:rPr>
      </w:pPr>
      <w:r w:rsidRPr="00A4163F">
        <w:rPr>
          <w:rFonts w:ascii="Proxima Nova" w:hAnsi="Proxima Nova" w:cs="Arial"/>
          <w:sz w:val="18"/>
          <w:szCs w:val="18"/>
        </w:rPr>
        <w:t>La BDESE est un support de préparation à la consultation annuelle du CSE :</w:t>
      </w:r>
    </w:p>
    <w:p w14:paraId="411FE09E" w14:textId="77777777" w:rsidR="007677EC" w:rsidRPr="00A4163F" w:rsidRDefault="007677EC" w:rsidP="007677EC">
      <w:pPr>
        <w:spacing w:after="0"/>
        <w:jc w:val="both"/>
        <w:rPr>
          <w:rFonts w:ascii="Proxima Nova" w:hAnsi="Proxima Nova" w:cs="Arial"/>
          <w:sz w:val="18"/>
          <w:szCs w:val="18"/>
        </w:rPr>
      </w:pPr>
    </w:p>
    <w:p w14:paraId="325936EE" w14:textId="77777777" w:rsidR="00A054A5" w:rsidRPr="00A4163F" w:rsidRDefault="00A054A5" w:rsidP="007677EC">
      <w:pPr>
        <w:numPr>
          <w:ilvl w:val="0"/>
          <w:numId w:val="5"/>
        </w:numPr>
        <w:spacing w:after="0"/>
        <w:jc w:val="both"/>
        <w:rPr>
          <w:rFonts w:ascii="Proxima Nova" w:hAnsi="Proxima Nova" w:cs="Arial"/>
          <w:sz w:val="18"/>
          <w:szCs w:val="18"/>
        </w:rPr>
      </w:pPr>
      <w:r w:rsidRPr="00A4163F">
        <w:rPr>
          <w:rFonts w:ascii="Proxima Nova" w:hAnsi="Proxima Nova" w:cs="Arial"/>
          <w:sz w:val="18"/>
          <w:szCs w:val="18"/>
        </w:rPr>
        <w:t>Orientations stratégiques de l'entreprise, définies par l'organe chargé de l'administration ou de la surveillance de l'entreprise</w:t>
      </w:r>
    </w:p>
    <w:p w14:paraId="239D17F7" w14:textId="77777777" w:rsidR="00A054A5" w:rsidRPr="00A4163F" w:rsidRDefault="00A054A5" w:rsidP="007677EC">
      <w:pPr>
        <w:pStyle w:val="Paragraphedeliste"/>
        <w:numPr>
          <w:ilvl w:val="0"/>
          <w:numId w:val="5"/>
        </w:numPr>
        <w:spacing w:after="0"/>
        <w:jc w:val="both"/>
        <w:rPr>
          <w:rFonts w:ascii="Proxima Nova" w:hAnsi="Proxima Nova" w:cs="Arial"/>
          <w:sz w:val="18"/>
          <w:szCs w:val="18"/>
        </w:rPr>
      </w:pPr>
      <w:r w:rsidRPr="00A4163F">
        <w:rPr>
          <w:rFonts w:ascii="Proxima Nova" w:hAnsi="Proxima Nova" w:cs="Arial"/>
          <w:sz w:val="18"/>
          <w:szCs w:val="18"/>
        </w:rPr>
        <w:t>Conséquences sur l'activité, l'emploi, l'évolution des métiers et des compétences, la formation professionnelle, l'organisation du travail, le recours à des contrats temporaires et à des stages</w:t>
      </w:r>
    </w:p>
    <w:p w14:paraId="5CAD1E7E" w14:textId="77777777" w:rsidR="00A054A5" w:rsidRPr="00A4163F" w:rsidRDefault="00A054A5" w:rsidP="007677EC">
      <w:pPr>
        <w:numPr>
          <w:ilvl w:val="0"/>
          <w:numId w:val="5"/>
        </w:numPr>
        <w:spacing w:after="0"/>
        <w:jc w:val="both"/>
        <w:rPr>
          <w:rFonts w:ascii="Proxima Nova" w:hAnsi="Proxima Nova" w:cs="Arial"/>
          <w:sz w:val="18"/>
          <w:szCs w:val="18"/>
        </w:rPr>
      </w:pPr>
      <w:r w:rsidRPr="00A4163F">
        <w:rPr>
          <w:rFonts w:ascii="Proxima Nova" w:hAnsi="Proxima Nova" w:cs="Arial"/>
          <w:sz w:val="18"/>
          <w:szCs w:val="18"/>
        </w:rPr>
        <w:t>Situation et évolution économique et financière de l'entreprise</w:t>
      </w:r>
    </w:p>
    <w:p w14:paraId="7877B7B7" w14:textId="77777777" w:rsidR="00A054A5" w:rsidRPr="00A4163F" w:rsidRDefault="00A054A5" w:rsidP="007677EC">
      <w:pPr>
        <w:numPr>
          <w:ilvl w:val="0"/>
          <w:numId w:val="5"/>
        </w:numPr>
        <w:spacing w:after="0"/>
        <w:jc w:val="both"/>
        <w:rPr>
          <w:rFonts w:ascii="Proxima Nova" w:hAnsi="Proxima Nova" w:cs="Arial"/>
          <w:sz w:val="18"/>
          <w:szCs w:val="18"/>
        </w:rPr>
      </w:pPr>
      <w:r w:rsidRPr="00A4163F">
        <w:rPr>
          <w:rFonts w:ascii="Proxima Nova" w:hAnsi="Proxima Nova" w:cs="Arial"/>
          <w:sz w:val="18"/>
          <w:szCs w:val="18"/>
        </w:rPr>
        <w:t>Politique sociale de l'entreprise : conditions de travail et de l’emploi</w:t>
      </w:r>
    </w:p>
    <w:p w14:paraId="23CFCF8F" w14:textId="77777777" w:rsidR="00A054A5" w:rsidRPr="00A4163F" w:rsidRDefault="00A054A5" w:rsidP="00A054A5">
      <w:pPr>
        <w:ind w:left="720"/>
        <w:jc w:val="both"/>
        <w:rPr>
          <w:rFonts w:ascii="Proxima Nova" w:hAnsi="Proxima Nova" w:cs="Arial"/>
          <w:sz w:val="18"/>
          <w:szCs w:val="18"/>
        </w:rPr>
      </w:pPr>
    </w:p>
    <w:p w14:paraId="765A5FF6" w14:textId="183E529D" w:rsidR="00A054A5" w:rsidRDefault="00A054A5" w:rsidP="007677EC">
      <w:pPr>
        <w:spacing w:after="0"/>
        <w:jc w:val="both"/>
        <w:rPr>
          <w:rFonts w:ascii="Proxima Nova" w:hAnsi="Proxima Nova" w:cs="Arial"/>
          <w:sz w:val="18"/>
          <w:szCs w:val="18"/>
        </w:rPr>
      </w:pPr>
      <w:r w:rsidRPr="00A4163F">
        <w:rPr>
          <w:rFonts w:ascii="Proxima Nova" w:hAnsi="Proxima Nova" w:cs="Arial"/>
          <w:sz w:val="18"/>
          <w:szCs w:val="18"/>
        </w:rPr>
        <w:t>La BDESE peut être complétée par un accord d'entreprise, de branche ou de groupe.</w:t>
      </w:r>
    </w:p>
    <w:p w14:paraId="29F407E2" w14:textId="77777777" w:rsidR="007677EC" w:rsidRPr="00A4163F" w:rsidRDefault="007677EC" w:rsidP="007677EC">
      <w:pPr>
        <w:spacing w:after="0"/>
        <w:jc w:val="both"/>
        <w:rPr>
          <w:rFonts w:ascii="Proxima Nova" w:hAnsi="Proxima Nova" w:cs="Arial"/>
          <w:sz w:val="18"/>
          <w:szCs w:val="18"/>
        </w:rPr>
      </w:pPr>
    </w:p>
    <w:p w14:paraId="0420575B" w14:textId="77777777" w:rsidR="00A054A5" w:rsidRPr="00A4163F" w:rsidRDefault="00A054A5" w:rsidP="007677EC">
      <w:pPr>
        <w:spacing w:after="0"/>
        <w:jc w:val="both"/>
        <w:rPr>
          <w:rFonts w:ascii="Proxima Nova" w:hAnsi="Proxima Nova" w:cs="Arial"/>
          <w:strike/>
          <w:sz w:val="18"/>
          <w:szCs w:val="18"/>
        </w:rPr>
      </w:pPr>
      <w:r w:rsidRPr="00A4163F">
        <w:rPr>
          <w:rFonts w:ascii="Proxima Nova" w:hAnsi="Proxima Nova" w:cs="Arial"/>
          <w:sz w:val="18"/>
          <w:szCs w:val="18"/>
        </w:rPr>
        <w:t>Un accord d'entreprise peut :</w:t>
      </w:r>
    </w:p>
    <w:p w14:paraId="67C4029E" w14:textId="77777777" w:rsidR="00A054A5" w:rsidRPr="00A4163F" w:rsidRDefault="00A054A5" w:rsidP="007677EC">
      <w:pPr>
        <w:numPr>
          <w:ilvl w:val="0"/>
          <w:numId w:val="6"/>
        </w:numPr>
        <w:spacing w:after="0"/>
        <w:jc w:val="both"/>
        <w:rPr>
          <w:rFonts w:ascii="Proxima Nova" w:hAnsi="Proxima Nova" w:cs="Arial"/>
          <w:sz w:val="18"/>
          <w:szCs w:val="18"/>
        </w:rPr>
      </w:pPr>
      <w:r w:rsidRPr="00A4163F">
        <w:rPr>
          <w:rFonts w:ascii="Proxima Nova" w:hAnsi="Proxima Nova" w:cs="Arial"/>
          <w:sz w:val="18"/>
          <w:szCs w:val="18"/>
        </w:rPr>
        <w:t>Déterminer l'organisation, l'architecture et le contenu de la BDESE</w:t>
      </w:r>
    </w:p>
    <w:p w14:paraId="65A548F4" w14:textId="77777777" w:rsidR="00A054A5" w:rsidRPr="00A4163F" w:rsidRDefault="00A054A5" w:rsidP="007677EC">
      <w:pPr>
        <w:numPr>
          <w:ilvl w:val="0"/>
          <w:numId w:val="6"/>
        </w:numPr>
        <w:spacing w:after="0"/>
        <w:jc w:val="both"/>
        <w:rPr>
          <w:rFonts w:ascii="Proxima Nova" w:hAnsi="Proxima Nova" w:cs="Arial"/>
          <w:sz w:val="18"/>
          <w:szCs w:val="18"/>
        </w:rPr>
      </w:pPr>
      <w:r w:rsidRPr="00A4163F">
        <w:rPr>
          <w:rFonts w:ascii="Proxima Nova" w:hAnsi="Proxima Nova" w:cs="Arial"/>
          <w:sz w:val="18"/>
          <w:szCs w:val="18"/>
        </w:rPr>
        <w:t>Prévoir que la BDESE n'aura plus à renseigner des informations sur les 2 années précédentes et des perspectives sur les 3 années suivantes</w:t>
      </w:r>
    </w:p>
    <w:p w14:paraId="10ECA584" w14:textId="2D264A3B" w:rsidR="00A054A5" w:rsidRDefault="00A054A5" w:rsidP="007677EC">
      <w:pPr>
        <w:numPr>
          <w:ilvl w:val="0"/>
          <w:numId w:val="6"/>
        </w:numPr>
        <w:spacing w:after="0"/>
        <w:jc w:val="both"/>
        <w:rPr>
          <w:rFonts w:ascii="Proxima Nova" w:hAnsi="Proxima Nova" w:cs="Arial"/>
          <w:sz w:val="18"/>
          <w:szCs w:val="18"/>
        </w:rPr>
      </w:pPr>
      <w:r w:rsidRPr="00A4163F">
        <w:rPr>
          <w:rFonts w:ascii="Proxima Nova" w:hAnsi="Proxima Nova" w:cs="Arial"/>
          <w:sz w:val="18"/>
          <w:szCs w:val="18"/>
        </w:rPr>
        <w:t>Prévoir les conditions de fonctionnement, le support ainsi que les critères de consultation et d'utilisation de la BDESE</w:t>
      </w:r>
    </w:p>
    <w:p w14:paraId="30FA954C" w14:textId="77777777" w:rsidR="007677EC" w:rsidRPr="00A4163F" w:rsidRDefault="007677EC" w:rsidP="007677EC">
      <w:pPr>
        <w:spacing w:after="0"/>
        <w:ind w:left="720"/>
        <w:jc w:val="both"/>
        <w:rPr>
          <w:rFonts w:ascii="Proxima Nova" w:hAnsi="Proxima Nova" w:cs="Arial"/>
          <w:sz w:val="18"/>
          <w:szCs w:val="18"/>
        </w:rPr>
      </w:pPr>
    </w:p>
    <w:p w14:paraId="1103EF5F" w14:textId="5F02DCD6" w:rsidR="00A4163F" w:rsidRDefault="00A054A5" w:rsidP="00A4163F">
      <w:pPr>
        <w:jc w:val="both"/>
        <w:rPr>
          <w:rFonts w:ascii="Proxima Nova" w:hAnsi="Proxima Nova" w:cs="Arial"/>
          <w:sz w:val="18"/>
          <w:szCs w:val="18"/>
        </w:rPr>
      </w:pPr>
      <w:r w:rsidRPr="00A4163F">
        <w:rPr>
          <w:rFonts w:ascii="Proxima Nova" w:hAnsi="Proxima Nova" w:cs="Arial"/>
          <w:sz w:val="18"/>
          <w:szCs w:val="18"/>
        </w:rPr>
        <w:t>Certaines informations, comme les partenariats et les transferts financiers, peuvent être exclus de la BDESE si l'accord le prévoit.</w:t>
      </w:r>
    </w:p>
    <w:p w14:paraId="64FCB91B" w14:textId="77777777" w:rsidR="00A4163F" w:rsidRDefault="00A4163F" w:rsidP="00A4163F">
      <w:pPr>
        <w:jc w:val="both"/>
        <w:rPr>
          <w:rFonts w:ascii="Proxima Nova" w:hAnsi="Proxima Nova" w:cs="Arial"/>
          <w:sz w:val="18"/>
          <w:szCs w:val="18"/>
        </w:rPr>
      </w:pPr>
    </w:p>
    <w:p w14:paraId="2037258D" w14:textId="18753EF3" w:rsidR="007E7E43" w:rsidRDefault="007E7E43" w:rsidP="00A4163F">
      <w:pPr>
        <w:jc w:val="both"/>
        <w:rPr>
          <w:rFonts w:ascii="Proxima Nova" w:hAnsi="Proxima Nova"/>
          <w:i/>
          <w:iCs/>
          <w:sz w:val="18"/>
          <w:szCs w:val="18"/>
        </w:rPr>
      </w:pPr>
      <w:r w:rsidRPr="007E7E43">
        <w:rPr>
          <w:rFonts w:ascii="Proxima Nova" w:hAnsi="Proxima Nova"/>
          <w:i/>
          <w:iCs/>
          <w:sz w:val="18"/>
          <w:szCs w:val="18"/>
        </w:rPr>
        <w:t xml:space="preserve">L’équipe de droit social est à votre disposition pour toute question complémentaire à l’adresse mail suivante : </w:t>
      </w:r>
      <w:hyperlink r:id="rId7" w:history="1">
        <w:r w:rsidRPr="00FC33DD">
          <w:rPr>
            <w:rStyle w:val="Lienhypertexte"/>
            <w:rFonts w:ascii="Proxima Nova" w:hAnsi="Proxima Nova"/>
            <w:i/>
            <w:iCs/>
            <w:sz w:val="18"/>
            <w:szCs w:val="18"/>
          </w:rPr>
          <w:t>social@cinov.fr</w:t>
        </w:r>
      </w:hyperlink>
    </w:p>
    <w:p w14:paraId="18EA59C4" w14:textId="77777777" w:rsidR="007E7E43" w:rsidRPr="007E7E43" w:rsidRDefault="007E7E43" w:rsidP="007E7E43">
      <w:pPr>
        <w:ind w:left="1068"/>
        <w:jc w:val="both"/>
        <w:rPr>
          <w:rFonts w:ascii="Proxima Nova" w:hAnsi="Proxima Nova"/>
          <w:i/>
          <w:iCs/>
          <w:sz w:val="18"/>
          <w:szCs w:val="18"/>
        </w:rPr>
      </w:pPr>
    </w:p>
    <w:p w14:paraId="680D4B96" w14:textId="7E3A97DD" w:rsidR="007E7E43" w:rsidRPr="007E7E43" w:rsidRDefault="007E7E43">
      <w:pPr>
        <w:rPr>
          <w:rFonts w:ascii="Proxima Nova" w:hAnsi="Proxima Nova"/>
          <w:i/>
          <w:iCs/>
          <w:sz w:val="18"/>
          <w:szCs w:val="18"/>
        </w:rPr>
      </w:pPr>
    </w:p>
    <w:p w14:paraId="50E312D2" w14:textId="3255E1D3" w:rsidR="002A2223" w:rsidRDefault="002A2223"/>
    <w:p w14:paraId="23C525D5" w14:textId="5D492F79" w:rsidR="002A2223" w:rsidRDefault="002A2223"/>
    <w:p w14:paraId="5BAF1FA7" w14:textId="77777777" w:rsidR="002A2223" w:rsidRDefault="002A2223"/>
    <w:sectPr w:rsidR="002A222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087E" w14:textId="77777777" w:rsidR="002A2223" w:rsidRDefault="002A2223" w:rsidP="002A2223">
      <w:pPr>
        <w:spacing w:after="0" w:line="240" w:lineRule="auto"/>
      </w:pPr>
      <w:r>
        <w:separator/>
      </w:r>
    </w:p>
  </w:endnote>
  <w:endnote w:type="continuationSeparator" w:id="0">
    <w:p w14:paraId="6B770BEE" w14:textId="77777777" w:rsidR="002A2223" w:rsidRDefault="002A2223" w:rsidP="002A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18AE" w14:textId="202C0A88" w:rsidR="002A2223" w:rsidRPr="00A4163F" w:rsidRDefault="002A2223">
    <w:pPr>
      <w:pStyle w:val="Pieddepage"/>
      <w:rPr>
        <w:rFonts w:ascii="Arial" w:hAnsi="Arial" w:cs="Arial"/>
        <w:color w:val="E84E25"/>
        <w:sz w:val="16"/>
        <w:szCs w:val="16"/>
      </w:rPr>
    </w:pPr>
    <w:r w:rsidRPr="002A2223">
      <w:rPr>
        <w:rFonts w:ascii="Arial" w:hAnsi="Arial" w:cs="Arial"/>
        <w:color w:val="E74E26"/>
        <w:sz w:val="16"/>
        <w:szCs w:val="16"/>
      </w:rPr>
      <w:t>FPS</w:t>
    </w:r>
    <w:r w:rsidR="00A4163F">
      <w:rPr>
        <w:rFonts w:ascii="Arial" w:hAnsi="Arial" w:cs="Arial"/>
        <w:color w:val="E74E26"/>
        <w:sz w:val="16"/>
        <w:szCs w:val="16"/>
      </w:rPr>
      <w:t>22</w:t>
    </w:r>
    <w:r w:rsidRPr="002A2223">
      <w:rPr>
        <w:rFonts w:ascii="Arial" w:hAnsi="Arial" w:cs="Arial"/>
        <w:color w:val="E74E26"/>
        <w:sz w:val="16"/>
        <w:szCs w:val="16"/>
      </w:rPr>
      <w:t xml:space="preserve"> </w:t>
    </w:r>
    <w:r>
      <w:rPr>
        <w:rFonts w:ascii="Arial" w:hAnsi="Arial" w:cs="Arial"/>
        <w:color w:val="E74E26"/>
        <w:sz w:val="16"/>
        <w:szCs w:val="16"/>
      </w:rPr>
      <w:t xml:space="preserve">     </w:t>
    </w:r>
    <w:r w:rsidRPr="002A2223">
      <w:rPr>
        <w:rFonts w:ascii="Arial" w:hAnsi="Arial" w:cs="Arial"/>
        <w:color w:val="E74E26"/>
        <w:sz w:val="16"/>
        <w:szCs w:val="16"/>
      </w:rPr>
      <w:t xml:space="preserve"> </w:t>
    </w:r>
    <w:r>
      <w:rPr>
        <w:rFonts w:ascii="Arial" w:hAnsi="Arial" w:cs="Arial"/>
        <w:color w:val="E74E26"/>
        <w:sz w:val="16"/>
        <w:szCs w:val="16"/>
      </w:rPr>
      <w:t xml:space="preserve">                                                                              </w:t>
    </w:r>
    <w:r w:rsidRPr="002A2223">
      <w:rPr>
        <w:rFonts w:ascii="Arial" w:hAnsi="Arial" w:cs="Arial"/>
        <w:color w:val="E84E25"/>
        <w:sz w:val="16"/>
        <w:szCs w:val="16"/>
      </w:rPr>
      <w:t>2</w:t>
    </w:r>
    <w:r w:rsidR="00A4163F">
      <w:rPr>
        <w:rFonts w:ascii="Arial" w:hAnsi="Arial" w:cs="Arial"/>
        <w:color w:val="E84E25"/>
        <w:sz w:val="16"/>
        <w:szCs w:val="16"/>
      </w:rPr>
      <w:t>7 avril</w:t>
    </w:r>
    <w:r w:rsidR="00672119">
      <w:rPr>
        <w:rFonts w:ascii="Arial" w:hAnsi="Arial" w:cs="Arial"/>
        <w:color w:val="E84E25"/>
        <w:sz w:val="16"/>
        <w:szCs w:val="16"/>
      </w:rPr>
      <w:t xml:space="preserve"> </w:t>
    </w:r>
    <w:r w:rsidRPr="002A2223">
      <w:rPr>
        <w:rFonts w:ascii="Arial" w:hAnsi="Arial" w:cs="Arial"/>
        <w:color w:val="E84E25"/>
        <w:sz w:val="16"/>
        <w:szCs w:val="16"/>
      </w:rPr>
      <w:t>202</w:t>
    </w:r>
    <w:r w:rsidR="00A4163F">
      <w:rPr>
        <w:rFonts w:ascii="Arial" w:hAnsi="Arial" w:cs="Arial"/>
        <w:color w:val="E84E25"/>
        <w:sz w:val="16"/>
        <w:szCs w:val="16"/>
      </w:rPr>
      <w:t>2</w:t>
    </w:r>
    <w:r w:rsidRPr="002A2223">
      <w:rPr>
        <w:rFonts w:ascii="Arial" w:hAnsi="Arial" w:cs="Arial"/>
        <w:color w:val="E84E25"/>
        <w:sz w:val="16"/>
        <w:szCs w:val="16"/>
      </w:rPr>
      <w:t xml:space="preserve"> </w:t>
    </w:r>
    <w:r>
      <w:rPr>
        <w:rFonts w:ascii="Arial" w:hAnsi="Arial" w:cs="Arial"/>
        <w:color w:val="E84E25"/>
        <w:sz w:val="16"/>
        <w:szCs w:val="16"/>
      </w:rPr>
      <w:t xml:space="preserve">                                                                          1 </w:t>
    </w:r>
    <w:r w:rsidRPr="002A2223">
      <w:rPr>
        <w:rFonts w:ascii="Arial" w:hAnsi="Arial" w:cs="Arial"/>
        <w:color w:val="E84E25"/>
        <w:sz w:val="16"/>
        <w:szCs w:val="16"/>
      </w:rPr>
      <w:t xml:space="preserve">sur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E09B" w14:textId="77777777" w:rsidR="002A2223" w:rsidRDefault="002A2223" w:rsidP="002A2223">
      <w:pPr>
        <w:spacing w:after="0" w:line="240" w:lineRule="auto"/>
      </w:pPr>
      <w:r>
        <w:separator/>
      </w:r>
    </w:p>
  </w:footnote>
  <w:footnote w:type="continuationSeparator" w:id="0">
    <w:p w14:paraId="5BEB9D4D" w14:textId="77777777" w:rsidR="002A2223" w:rsidRDefault="002A2223" w:rsidP="002A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09DE" w14:textId="01FAB910" w:rsidR="002A2223" w:rsidRDefault="002A2223">
    <w:pPr>
      <w:pStyle w:val="En-tte"/>
    </w:pPr>
    <w:r>
      <w:rPr>
        <w:noProof/>
      </w:rPr>
      <w:drawing>
        <wp:inline distT="0" distB="0" distL="0" distR="0" wp14:anchorId="0A9A594E" wp14:editId="5681C04B">
          <wp:extent cx="2133600" cy="1066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134802" cy="1067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CF2"/>
    <w:multiLevelType w:val="hybridMultilevel"/>
    <w:tmpl w:val="B2E0F186"/>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F7E52C4"/>
    <w:multiLevelType w:val="multilevel"/>
    <w:tmpl w:val="E45C38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D27722"/>
    <w:multiLevelType w:val="hybridMultilevel"/>
    <w:tmpl w:val="246487D4"/>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19F62B8"/>
    <w:multiLevelType w:val="multilevel"/>
    <w:tmpl w:val="158019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DA1E92"/>
    <w:multiLevelType w:val="hybridMultilevel"/>
    <w:tmpl w:val="9580F24E"/>
    <w:lvl w:ilvl="0" w:tplc="CD6E94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5642D6"/>
    <w:multiLevelType w:val="hybridMultilevel"/>
    <w:tmpl w:val="AEFCA3D6"/>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780833407">
    <w:abstractNumId w:val="2"/>
  </w:num>
  <w:num w:numId="2" w16cid:durableId="1356612435">
    <w:abstractNumId w:val="0"/>
  </w:num>
  <w:num w:numId="3" w16cid:durableId="985086172">
    <w:abstractNumId w:val="5"/>
  </w:num>
  <w:num w:numId="4" w16cid:durableId="1048643947">
    <w:abstractNumId w:val="4"/>
  </w:num>
  <w:num w:numId="5" w16cid:durableId="1978488891">
    <w:abstractNumId w:val="1"/>
  </w:num>
  <w:num w:numId="6" w16cid:durableId="285623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23"/>
    <w:rsid w:val="002A2223"/>
    <w:rsid w:val="00672119"/>
    <w:rsid w:val="007677EC"/>
    <w:rsid w:val="007E45C0"/>
    <w:rsid w:val="007E7E43"/>
    <w:rsid w:val="008609ED"/>
    <w:rsid w:val="00A054A5"/>
    <w:rsid w:val="00A4163F"/>
    <w:rsid w:val="00DA5281"/>
    <w:rsid w:val="00DC1C8C"/>
    <w:rsid w:val="00F340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D5DE6"/>
  <w15:chartTrackingRefBased/>
  <w15:docId w15:val="{7C3FE231-02F5-4BC0-8BBC-030351BB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223"/>
    <w:pPr>
      <w:tabs>
        <w:tab w:val="center" w:pos="4536"/>
        <w:tab w:val="right" w:pos="9072"/>
      </w:tabs>
      <w:spacing w:after="0" w:line="240" w:lineRule="auto"/>
    </w:pPr>
  </w:style>
  <w:style w:type="character" w:customStyle="1" w:styleId="En-tteCar">
    <w:name w:val="En-tête Car"/>
    <w:basedOn w:val="Policepardfaut"/>
    <w:link w:val="En-tte"/>
    <w:uiPriority w:val="99"/>
    <w:rsid w:val="002A2223"/>
  </w:style>
  <w:style w:type="paragraph" w:styleId="Pieddepage">
    <w:name w:val="footer"/>
    <w:basedOn w:val="Normal"/>
    <w:link w:val="PieddepageCar"/>
    <w:uiPriority w:val="99"/>
    <w:unhideWhenUsed/>
    <w:rsid w:val="002A22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223"/>
  </w:style>
  <w:style w:type="paragraph" w:styleId="Paragraphedeliste">
    <w:name w:val="List Paragraph"/>
    <w:basedOn w:val="Normal"/>
    <w:uiPriority w:val="34"/>
    <w:qFormat/>
    <w:rsid w:val="007E7E43"/>
    <w:pPr>
      <w:ind w:left="720"/>
      <w:contextualSpacing/>
    </w:pPr>
  </w:style>
  <w:style w:type="character" w:styleId="Lienhypertexte">
    <w:name w:val="Hyperlink"/>
    <w:basedOn w:val="Policepardfaut"/>
    <w:uiPriority w:val="99"/>
    <w:unhideWhenUsed/>
    <w:rsid w:val="007E7E43"/>
    <w:rPr>
      <w:color w:val="0563C1" w:themeColor="hyperlink"/>
      <w:u w:val="single"/>
    </w:rPr>
  </w:style>
  <w:style w:type="character" w:styleId="Mentionnonrsolue">
    <w:name w:val="Unresolved Mention"/>
    <w:basedOn w:val="Policepardfaut"/>
    <w:uiPriority w:val="99"/>
    <w:semiHidden/>
    <w:unhideWhenUsed/>
    <w:rsid w:val="007E7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ial@cino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606</Words>
  <Characters>3334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MOTTET</dc:creator>
  <cp:keywords/>
  <dc:description/>
  <cp:lastModifiedBy>Mathilde KELLER</cp:lastModifiedBy>
  <cp:revision>7</cp:revision>
  <cp:lastPrinted>2022-04-27T12:26:00Z</cp:lastPrinted>
  <dcterms:created xsi:type="dcterms:W3CDTF">2022-04-27T12:21:00Z</dcterms:created>
  <dcterms:modified xsi:type="dcterms:W3CDTF">2022-04-27T15:23:00Z</dcterms:modified>
</cp:coreProperties>
</file>